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787825" w14:textId="2D87B90B" w:rsidR="00272E68" w:rsidRPr="00272E68" w:rsidRDefault="00272E68" w:rsidP="0032357E">
      <w:pPr>
        <w:jc w:val="both"/>
        <w:rPr>
          <w:b/>
          <w:bCs/>
        </w:rPr>
      </w:pPr>
      <w:r w:rsidRPr="00272E68">
        <w:rPr>
          <w:b/>
          <w:bCs/>
        </w:rPr>
        <w:t>A GVH mint a tisztességes piaci verseny őre</w:t>
      </w:r>
    </w:p>
    <w:p w14:paraId="0C5CD65D" w14:textId="77777777" w:rsidR="00272E68" w:rsidRDefault="00272E68" w:rsidP="0032357E">
      <w:pPr>
        <w:jc w:val="both"/>
      </w:pPr>
    </w:p>
    <w:p w14:paraId="656BEEE6" w14:textId="77777777" w:rsidR="006816AE" w:rsidRDefault="006816AE" w:rsidP="0032357E">
      <w:pPr>
        <w:jc w:val="both"/>
        <w:rPr>
          <w:rStyle w:val="Hiperhivatkozs"/>
          <w:color w:val="auto"/>
          <w:u w:val="none"/>
        </w:rPr>
      </w:pPr>
      <w:r>
        <w:rPr>
          <w:rStyle w:val="Hiperhivatkozs"/>
          <w:color w:val="auto"/>
          <w:u w:val="none"/>
        </w:rPr>
        <w:t xml:space="preserve">Milyen hatása lehet egy reklámnak? Tudjuk jól, a reklám célja, hogy vásárlásra serkentse a potenciális vevőket. Ez rendben is van, de a vevők döntését tilos tisztességtelenül befolyásolni, ez a jogellenes tevékenység. </w:t>
      </w:r>
    </w:p>
    <w:p w14:paraId="65FF65C1" w14:textId="77777777" w:rsidR="006816AE" w:rsidRDefault="006816AE" w:rsidP="0032357E">
      <w:pPr>
        <w:jc w:val="both"/>
        <w:rPr>
          <w:rStyle w:val="Hiperhivatkozs"/>
          <w:color w:val="auto"/>
          <w:u w:val="none"/>
        </w:rPr>
      </w:pPr>
    </w:p>
    <w:p w14:paraId="044453FA" w14:textId="77777777" w:rsidR="006816AE" w:rsidRDefault="006816AE" w:rsidP="006816AE">
      <w:pPr>
        <w:jc w:val="both"/>
        <w:rPr>
          <w:rStyle w:val="Hiperhivatkozs"/>
          <w:color w:val="auto"/>
          <w:u w:val="none"/>
        </w:rPr>
      </w:pPr>
      <w:r>
        <w:rPr>
          <w:rStyle w:val="Hiperhivatkozs"/>
          <w:color w:val="auto"/>
          <w:u w:val="none"/>
        </w:rPr>
        <w:t>A GVH egyik alapvető feladata a tisztességtelen piaci magatartásokat tiltó törvényi előírásoknak érvényt szerezzen. Az ilyen magatartásokat a hivatal észlelheti és ilyenkor hivatalból indít eljárást, de természetesen kérelemre is indulnak eljárások.</w:t>
      </w:r>
    </w:p>
    <w:p w14:paraId="57041314" w14:textId="77777777" w:rsidR="006816AE" w:rsidRDefault="006816AE" w:rsidP="006816AE">
      <w:pPr>
        <w:jc w:val="both"/>
      </w:pPr>
      <w:r>
        <w:t>Nézzük meg a következő jogesetet, amelyben a GVH határozatot hozott:</w:t>
      </w:r>
    </w:p>
    <w:p w14:paraId="529BEBD7" w14:textId="77777777" w:rsidR="006816AE" w:rsidRDefault="006816AE" w:rsidP="0032357E">
      <w:pPr>
        <w:jc w:val="both"/>
      </w:pPr>
    </w:p>
    <w:p w14:paraId="45D89AD9" w14:textId="05E23871" w:rsidR="00272E68" w:rsidRPr="006816AE" w:rsidRDefault="00272E68" w:rsidP="0032357E">
      <w:pPr>
        <w:jc w:val="both"/>
        <w:rPr>
          <w:sz w:val="20"/>
          <w:szCs w:val="20"/>
        </w:rPr>
      </w:pPr>
      <w:r w:rsidRPr="006816AE">
        <w:rPr>
          <w:sz w:val="20"/>
          <w:szCs w:val="20"/>
        </w:rPr>
        <w:t>A főbb vonatkozó jogszabályok:</w:t>
      </w:r>
    </w:p>
    <w:p w14:paraId="1B9D2794" w14:textId="1A32A43F" w:rsidR="00272E68" w:rsidRPr="006816AE" w:rsidRDefault="00272E68" w:rsidP="00272E68">
      <w:pPr>
        <w:pStyle w:val="Listaszerbekezds"/>
        <w:numPr>
          <w:ilvl w:val="0"/>
          <w:numId w:val="2"/>
        </w:numPr>
        <w:ind w:left="284" w:hanging="284"/>
        <w:jc w:val="both"/>
        <w:rPr>
          <w:sz w:val="20"/>
          <w:szCs w:val="20"/>
        </w:rPr>
      </w:pPr>
      <w:r w:rsidRPr="006816AE">
        <w:rPr>
          <w:sz w:val="20"/>
          <w:szCs w:val="20"/>
        </w:rPr>
        <w:t>A</w:t>
      </w:r>
      <w:r w:rsidRPr="006816AE">
        <w:rPr>
          <w:sz w:val="20"/>
          <w:szCs w:val="20"/>
        </w:rPr>
        <w:t xml:space="preserve"> tisztességtelen piaci magatartás és a versenykorlátozás tilalmáról szóló 1996. évi LVII. törvény (a továbbiakban: Tpvt.)</w:t>
      </w:r>
    </w:p>
    <w:p w14:paraId="522E2F31" w14:textId="77777777" w:rsidR="00272E68" w:rsidRPr="006816AE" w:rsidRDefault="00272E68" w:rsidP="00272E68">
      <w:pPr>
        <w:pStyle w:val="Listaszerbekezds"/>
        <w:numPr>
          <w:ilvl w:val="0"/>
          <w:numId w:val="2"/>
        </w:numPr>
        <w:ind w:left="284" w:hanging="284"/>
        <w:jc w:val="both"/>
        <w:rPr>
          <w:sz w:val="20"/>
          <w:szCs w:val="20"/>
        </w:rPr>
      </w:pPr>
      <w:r w:rsidRPr="006816AE">
        <w:rPr>
          <w:sz w:val="20"/>
          <w:szCs w:val="20"/>
        </w:rPr>
        <w:t xml:space="preserve">1169/2011/EU európai parlamenti és tanácsi rendelet (a továbbiakban: 1169/2011/EU rendelet) </w:t>
      </w:r>
    </w:p>
    <w:p w14:paraId="354976CF" w14:textId="569D7C54" w:rsidR="00D13ECA" w:rsidRPr="006816AE" w:rsidRDefault="00272E68" w:rsidP="00272E68">
      <w:pPr>
        <w:pStyle w:val="Listaszerbekezds"/>
        <w:numPr>
          <w:ilvl w:val="0"/>
          <w:numId w:val="2"/>
        </w:numPr>
        <w:ind w:left="284" w:hanging="284"/>
        <w:jc w:val="both"/>
        <w:rPr>
          <w:sz w:val="20"/>
          <w:szCs w:val="20"/>
        </w:rPr>
      </w:pPr>
      <w:r w:rsidRPr="006816AE">
        <w:rPr>
          <w:sz w:val="20"/>
          <w:szCs w:val="20"/>
        </w:rPr>
        <w:t>A</w:t>
      </w:r>
      <w:r w:rsidRPr="006816AE">
        <w:rPr>
          <w:sz w:val="20"/>
          <w:szCs w:val="20"/>
        </w:rPr>
        <w:t xml:space="preserve"> fogyasztókkal szembeni tisztességtelen kereskedelmi gyakorlat tilalmáról szóló 2008. évi XLVII. törvény (a továbbiakban: </w:t>
      </w:r>
      <w:proofErr w:type="spellStart"/>
      <w:r w:rsidRPr="006816AE">
        <w:rPr>
          <w:sz w:val="20"/>
          <w:szCs w:val="20"/>
        </w:rPr>
        <w:t>Fttv</w:t>
      </w:r>
      <w:proofErr w:type="spellEnd"/>
      <w:r w:rsidRPr="006816AE">
        <w:rPr>
          <w:sz w:val="20"/>
          <w:szCs w:val="20"/>
        </w:rPr>
        <w:t>.)</w:t>
      </w:r>
    </w:p>
    <w:p w14:paraId="7B5A9F5B" w14:textId="0BDB95C7" w:rsidR="00822BB1" w:rsidRDefault="00822BB1" w:rsidP="0032357E">
      <w:pPr>
        <w:jc w:val="both"/>
        <w:rPr>
          <w:rStyle w:val="Hiperhivatkozs"/>
        </w:rPr>
      </w:pPr>
    </w:p>
    <w:p w14:paraId="68ED3ACA" w14:textId="1CA449A2" w:rsidR="00FE33FE" w:rsidRDefault="0032357E" w:rsidP="0032357E">
      <w:pPr>
        <w:jc w:val="both"/>
      </w:pPr>
      <w:r w:rsidRPr="0032357E">
        <w:t xml:space="preserve">A Gazdasági Versenyhivatal versenytanácsa a </w:t>
      </w:r>
      <w:r w:rsidRPr="0032357E">
        <w:rPr>
          <w:bCs/>
        </w:rPr>
        <w:t>Pfizer Gyógyszerkereskedelmi Kft.</w:t>
      </w:r>
      <w:r w:rsidRPr="0032357E">
        <w:rPr>
          <w:b/>
        </w:rPr>
        <w:t xml:space="preserve"> </w:t>
      </w:r>
      <w:r w:rsidRPr="0032357E">
        <w:t>ellen fogyasztókkal szembeni tisztességtelen kereskedelmi gyakorlat tilalmának feltételezett megsértése miatt indított versenyfelügyeleti eljárás</w:t>
      </w:r>
      <w:r w:rsidR="00FE33FE">
        <w:t xml:space="preserve">t, mivel </w:t>
      </w:r>
      <w:r w:rsidR="00FE33FE" w:rsidRPr="00FE33FE">
        <w:t>észlelte, hogy a Pfizer Kft. a Multi-</w:t>
      </w:r>
      <w:proofErr w:type="spellStart"/>
      <w:r w:rsidR="00FE33FE" w:rsidRPr="00FE33FE">
        <w:t>tabs</w:t>
      </w:r>
      <w:proofErr w:type="spellEnd"/>
      <w:r w:rsidR="00FE33FE" w:rsidRPr="00FE33FE">
        <w:t xml:space="preserve"> Multi Kid étrend-kiegészítő készítmény népszerűsítése során a televízióban és mozikban bemutatott reklámjában alkalmazott, </w:t>
      </w:r>
      <w:r w:rsidR="00FE33FE" w:rsidRPr="00110040">
        <w:rPr>
          <w:color w:val="FF0000"/>
        </w:rPr>
        <w:t>egészséges életmód pótolhatóságára utaló állításával azt a látszatot keltette, hogy a termék használata a kiegyensúlyozott és változatos étrend kiváltására alkalmas, amely ellentétes az általánosan elfogadott táplálkozási és egészségügyi elvekkel, illetve amely becsmérel egy helyes étrendi gyakorlatot</w:t>
      </w:r>
      <w:r w:rsidR="00FE33FE" w:rsidRPr="00110040">
        <w:rPr>
          <w:color w:val="002060"/>
        </w:rPr>
        <w:t xml:space="preserve">. </w:t>
      </w:r>
      <w:r w:rsidR="00FE33FE">
        <w:t>Ez a GVH szerint több jogszabályba is ütközik, ezért hivatalból indított eljárást</w:t>
      </w:r>
      <w:r w:rsidR="00110040">
        <w:t>.</w:t>
      </w:r>
    </w:p>
    <w:p w14:paraId="6E8B44AE" w14:textId="77777777" w:rsidR="006816AE" w:rsidRDefault="006816AE" w:rsidP="0032357E">
      <w:pPr>
        <w:jc w:val="both"/>
      </w:pPr>
    </w:p>
    <w:p w14:paraId="2C596B84" w14:textId="76928849" w:rsidR="00FE33FE" w:rsidRDefault="006816AE" w:rsidP="0032357E">
      <w:pPr>
        <w:jc w:val="both"/>
      </w:pPr>
      <w:r>
        <w:t xml:space="preserve">1) </w:t>
      </w:r>
      <w:r w:rsidR="00FE33FE">
        <w:t xml:space="preserve">Mit gondol, mely </w:t>
      </w:r>
      <w:r w:rsidR="00CA75AC">
        <w:t>fen</w:t>
      </w:r>
      <w:r w:rsidR="009C18CE">
        <w:t>ti jogszabályi jogosítja</w:t>
      </w:r>
      <w:r w:rsidR="00CA75AC">
        <w:t xml:space="preserve"> </w:t>
      </w:r>
      <w:r w:rsidR="009C18CE">
        <w:t xml:space="preserve">előírás jogosítja fel a GVH-t az eljárás lefolytatására és a fenti </w:t>
      </w:r>
      <w:r w:rsidR="00FE33FE">
        <w:t>jogszabály</w:t>
      </w:r>
      <w:r w:rsidR="00CA75AC">
        <w:t>ok, mely rendelkezéseibe ütközhet ez a tevékenység?</w:t>
      </w:r>
    </w:p>
    <w:p w14:paraId="0C412238" w14:textId="77777777" w:rsidR="006816AE" w:rsidRDefault="006816AE" w:rsidP="0032357E">
      <w:pPr>
        <w:jc w:val="both"/>
      </w:pPr>
    </w:p>
    <w:p w14:paraId="6707648D" w14:textId="4A3B79A9" w:rsidR="00110040" w:rsidRDefault="006816AE" w:rsidP="00110040">
      <w:pPr>
        <w:jc w:val="both"/>
      </w:pPr>
      <w:r>
        <w:t xml:space="preserve">Az eljárás során a versenytanács megvizsgálta az eljárás alá vont vállalkozást és az érintett termékeket. Három termékről van szó, a különböző ízű a </w:t>
      </w:r>
      <w:r>
        <w:t xml:space="preserve">Pfizer Kft. </w:t>
      </w:r>
      <w:r>
        <w:t xml:space="preserve">által </w:t>
      </w:r>
      <w:r>
        <w:t>Magyarországon forgalmazott Multi-</w:t>
      </w:r>
      <w:proofErr w:type="spellStart"/>
      <w:r>
        <w:t>tabs</w:t>
      </w:r>
      <w:proofErr w:type="spellEnd"/>
      <w:r>
        <w:t xml:space="preserve"> Multi Kid étrend-kiegészítő</w:t>
      </w:r>
      <w:r>
        <w:t>kről, melyek rendelkeznek OÉTI</w:t>
      </w:r>
      <w:r w:rsidR="00110040">
        <w:t xml:space="preserve"> engedéllyel és a</w:t>
      </w:r>
      <w:r>
        <w:t xml:space="preserve"> három</w:t>
      </w:r>
      <w:r w:rsidR="00110040">
        <w:t xml:space="preserve"> </w:t>
      </w:r>
      <w:r>
        <w:t>termék összetevői azonosak</w:t>
      </w:r>
      <w:r w:rsidR="00110040">
        <w:t xml:space="preserve">. </w:t>
      </w:r>
      <w:r w:rsidR="00110040">
        <w:t>17.</w:t>
      </w:r>
      <w:r w:rsidR="00110040">
        <w:tab/>
        <w:t>A versenyfelügyeleti eljárás a Multi-</w:t>
      </w:r>
      <w:proofErr w:type="spellStart"/>
      <w:r w:rsidR="00110040">
        <w:t>tabs</w:t>
      </w:r>
      <w:proofErr w:type="spellEnd"/>
      <w:r w:rsidR="00110040">
        <w:t xml:space="preserve"> Multi Kid étrend-kiegészítő termékek népszerűsítése céljából, 2015. augusztus 1-jétől közzétett, az egészséges életmód pótolhatóságára utaló és a kiegyensúlyozott és változatos étrend kiváltására alkalmasságára utaló kereskedelmi kommunikációra terjed ki.</w:t>
      </w:r>
      <w:r w:rsidR="00110040">
        <w:t xml:space="preserve"> A vizsgált reklámeszközök a TV-ben és moziban vetíttet reklámfilmek, valamint plakátok és szórólapok.</w:t>
      </w:r>
    </w:p>
    <w:p w14:paraId="051A9B42" w14:textId="01E16C80" w:rsidR="00110040" w:rsidRDefault="00110040" w:rsidP="00110040">
      <w:pPr>
        <w:jc w:val="both"/>
      </w:pPr>
      <w:r>
        <w:t xml:space="preserve">A Pfizer védekezésként a </w:t>
      </w:r>
      <w:r>
        <w:t xml:space="preserve">szakmai gondosság követelményével kapcsolatban </w:t>
      </w:r>
      <w:r>
        <w:t xml:space="preserve">előadta, hogy </w:t>
      </w:r>
      <w:r>
        <w:t xml:space="preserve">a szakmai gondosság követelményének </w:t>
      </w:r>
      <w:r>
        <w:t>az</w:t>
      </w:r>
      <w:r w:rsidR="00864201">
        <w:t>zal</w:t>
      </w:r>
      <w:r>
        <w:t xml:space="preserve"> felelt meg, hogy feltüntette a</w:t>
      </w:r>
      <w:r w:rsidR="00FD08AE">
        <w:t xml:space="preserve"> kötelezően előírt (</w:t>
      </w:r>
      <w:r w:rsidR="00FD08AE">
        <w:t xml:space="preserve">37/2004. (IV. 26.) </w:t>
      </w:r>
      <w:proofErr w:type="spellStart"/>
      <w:r w:rsidR="00FD08AE">
        <w:t>ESzCsM</w:t>
      </w:r>
      <w:proofErr w:type="spellEnd"/>
      <w:r w:rsidR="00FD08AE">
        <w:t xml:space="preserve"> rendelet</w:t>
      </w:r>
      <w:r w:rsidR="00FD08AE">
        <w:t xml:space="preserve">) figyelmeztetést: </w:t>
      </w:r>
      <w:r>
        <w:t>„Egyetlen étrend-kiegészítő, így a Multi-</w:t>
      </w:r>
      <w:proofErr w:type="spellStart"/>
      <w:r>
        <w:t>tabs</w:t>
      </w:r>
      <w:proofErr w:type="spellEnd"/>
      <w:r>
        <w:t xml:space="preserve"> Multi Kid sem helyettesítheti a kiegyensúlyozott, vegyes étrendet és az egészséges életmódot.”</w:t>
      </w:r>
      <w:r w:rsidR="00FD08AE">
        <w:t xml:space="preserve"> Ezzel szerinte megfelelt </w:t>
      </w:r>
      <w:r>
        <w:t>minden jogszabályi követelménynek a reklámozás során, különösen a 1169/2011/EU rendelet előírásainak, így a szakmai gondosság követelményének is.</w:t>
      </w:r>
    </w:p>
    <w:p w14:paraId="49AECFEA" w14:textId="265AD6CE" w:rsidR="00117CE7" w:rsidRDefault="00FD08AE" w:rsidP="00117CE7">
      <w:r>
        <w:t xml:space="preserve">A GVH </w:t>
      </w:r>
      <w:r w:rsidR="007F7B4B">
        <w:t xml:space="preserve">álláspontjában kifejtette, </w:t>
      </w:r>
      <w:r w:rsidR="00117CE7" w:rsidRPr="00117CE7">
        <w:t xml:space="preserve">hogy megvizsgálta a piacot, ahol jellemző a piaci résztvevők magas száma és változatossága. Ami azért releváns mert a jelen ügyben vizsgált kereskedelmi gyakorlat nem egy-egy hatásra vagy termékjellemzőre fókuszál, hanem általában utal az adott termék (versenytársaihoz is viszonyított) szerepére a gyermekek táplálkozásában. A célcsoport, akinek a reklám szól ugyan </w:t>
      </w:r>
      <w:proofErr w:type="spellStart"/>
      <w:r w:rsidR="00117CE7" w:rsidRPr="00117CE7">
        <w:t>ésszerűen</w:t>
      </w:r>
      <w:proofErr w:type="spellEnd"/>
      <w:r w:rsidR="00117CE7" w:rsidRPr="00117CE7">
        <w:t xml:space="preserve"> tájékozottan, az adott helyzetben általában elvárható figyelmességgel és körültekintéssel eljáró személyek, de egyben kiszolgáltatott személyek abban az értelemben, hogy </w:t>
      </w:r>
      <w:r w:rsidR="00117CE7" w:rsidRPr="00117CE7">
        <w:lastRenderedPageBreak/>
        <w:t xml:space="preserve">a szülőkben meglévő állandó és természetes késztetés, hogy a gyermeküknek a legjobbat szeretnék megadni. </w:t>
      </w:r>
      <w:r w:rsidR="00117CE7">
        <w:t xml:space="preserve">A reklám üzenete arra a problémára fókuszál, hogy </w:t>
      </w:r>
      <w:r w:rsidR="00117CE7" w:rsidRPr="00F035A4">
        <w:t xml:space="preserve">a gyerekek </w:t>
      </w:r>
      <w:r w:rsidR="00117CE7">
        <w:t xml:space="preserve">gyakran </w:t>
      </w:r>
      <w:r w:rsidR="00117CE7" w:rsidRPr="00F035A4">
        <w:t>nem esznek meg bizonyos ételeket, jellemzően pont a közvélekedés szerint is egészséges, vitaminban gazdag zöldségeket és gyümölcsöket, ami feszültséget és aggódást válthat ki a szülőkből. Ennek a problémának az észlelésekor a fogyasztó a gyermekeinek a kiegyensúlyozott és változatos étrend biztosítására irányuló belső késztetése miatt felkutatja a kínált termékeket, lehetőségeket és a vizsgált kereskedelmi kommunikáció azon üzenete miatt dönt a vizsgálattal érintett termék mellett, mely szerint egy (finom, a gyerekek által szerethető ízekben elérhető) étrend-kiegészítővel megoldható az egészséges táplálkozás, illetve a megfelelő vitamin és ásványi anyag bevitel.</w:t>
      </w:r>
    </w:p>
    <w:p w14:paraId="1ADE617C" w14:textId="07329C96" w:rsidR="00110040" w:rsidRDefault="007F7B4B" w:rsidP="0032357E">
      <w:pPr>
        <w:jc w:val="both"/>
      </w:pPr>
      <w:r w:rsidRPr="007F7B4B">
        <w:t>A versenytanácsi gyakorlata szerint, amennyiben egy reklám nem határozza meg, hogy mi értendő egy, az adott reklámban használt kifejezés alatt, akkor a kifejezés tartalommal való kitöltését a reklámozó a fogyasztóra bízza. Ha azonban a tájékoztatás nem egyértelmű, annak következményeit is a vállalkozásnak kell viselnie, mindenekelőtt oly módon, hogy valamennyi értelmezés valóságnak való megfelelését igazolnia kell. A versenyfelügyeleti eljárásban megállapításra került, hogy a többféle fogyasztói értelmezés következményeit a vállalkozás elkerülheti egy egyértelmű (és bizonyítottan valós) megfogalmazással.</w:t>
      </w:r>
    </w:p>
    <w:p w14:paraId="4028AE8F" w14:textId="77777777" w:rsidR="00110040" w:rsidRDefault="00110040" w:rsidP="0032357E">
      <w:pPr>
        <w:jc w:val="both"/>
      </w:pPr>
    </w:p>
    <w:p w14:paraId="45BDD501" w14:textId="74EB3731" w:rsidR="00110040" w:rsidRDefault="00117CE7" w:rsidP="0032357E">
      <w:pPr>
        <w:jc w:val="both"/>
      </w:pPr>
      <w:r>
        <w:t>2) Ön milyen határozatot hozna? Mit gondol, milyen tartalmú határozatot hozott a GVH?</w:t>
      </w:r>
    </w:p>
    <w:p w14:paraId="3259BFB3" w14:textId="77777777" w:rsidR="00110040" w:rsidRDefault="00110040" w:rsidP="0032357E">
      <w:pPr>
        <w:jc w:val="both"/>
      </w:pPr>
    </w:p>
    <w:p w14:paraId="6A2A61B6" w14:textId="3A1A622A" w:rsidR="00117CE7" w:rsidRDefault="00117CE7" w:rsidP="0032357E">
      <w:pPr>
        <w:jc w:val="both"/>
      </w:pPr>
      <w:r>
        <w:t xml:space="preserve">3) </w:t>
      </w:r>
      <w:r w:rsidR="0032357E" w:rsidRPr="0032357E">
        <w:t>A határozat</w:t>
      </w:r>
      <w:r>
        <w:t>tal szemben jogorvoslattal lehetett élni. Ön élt volna a fellebbezés lehetőségével (továbbá költségek kiadásával járhat vagy elvetheti a GVH határozatát a Bíróság. Mit gondol, hogyan járt el a Pfizer Kft?</w:t>
      </w:r>
    </w:p>
    <w:p w14:paraId="3D98DC10" w14:textId="43F58D7A" w:rsidR="00272E68" w:rsidRDefault="00272E68">
      <w:r>
        <w:br w:type="page"/>
      </w:r>
    </w:p>
    <w:p w14:paraId="53567A2D" w14:textId="77777777" w:rsidR="006816AE" w:rsidRDefault="006816AE" w:rsidP="006816AE">
      <w:pPr>
        <w:jc w:val="both"/>
      </w:pPr>
      <w:r>
        <w:lastRenderedPageBreak/>
        <w:t xml:space="preserve">1) </w:t>
      </w:r>
      <w:r w:rsidRPr="009C18CE">
        <w:t>1169/2011/EU rendelet) 7. cikk (1) bekezdés b) pontj</w:t>
      </w:r>
      <w:r>
        <w:t>a</w:t>
      </w:r>
    </w:p>
    <w:p w14:paraId="3799E47E" w14:textId="77777777" w:rsidR="006816AE" w:rsidRDefault="006816AE" w:rsidP="006816AE">
      <w:pPr>
        <w:jc w:val="both"/>
      </w:pPr>
      <w:proofErr w:type="spellStart"/>
      <w:r>
        <w:t>Fttv</w:t>
      </w:r>
      <w:proofErr w:type="spellEnd"/>
      <w:r>
        <w:t xml:space="preserve">.) 3. § (1) és (2) </w:t>
      </w:r>
      <w:proofErr w:type="spellStart"/>
      <w:r>
        <w:t>bek</w:t>
      </w:r>
      <w:proofErr w:type="spellEnd"/>
      <w:r>
        <w:t xml:space="preserve">., illetve </w:t>
      </w:r>
      <w:proofErr w:type="spellStart"/>
      <w:r>
        <w:t>Fttv</w:t>
      </w:r>
      <w:proofErr w:type="spellEnd"/>
      <w:r>
        <w:t xml:space="preserve">. 6. § (1) </w:t>
      </w:r>
      <w:proofErr w:type="spellStart"/>
      <w:r>
        <w:t>bek</w:t>
      </w:r>
      <w:proofErr w:type="spellEnd"/>
      <w:r>
        <w:t>. b) pontja</w:t>
      </w:r>
    </w:p>
    <w:p w14:paraId="25DF8EF1" w14:textId="77777777" w:rsidR="006816AE" w:rsidRDefault="006816AE" w:rsidP="006816AE">
      <w:pPr>
        <w:jc w:val="both"/>
      </w:pPr>
    </w:p>
    <w:p w14:paraId="28B7E556" w14:textId="491BC315" w:rsidR="007327B0" w:rsidRPr="0032357E" w:rsidRDefault="007327B0" w:rsidP="007327B0">
      <w:pPr>
        <w:jc w:val="both"/>
      </w:pPr>
      <w:r>
        <w:t xml:space="preserve">2) </w:t>
      </w:r>
      <w:r w:rsidRPr="0032357E">
        <w:t>Az eljáró versenytanács megállapítja, hogy a Pfizer Kft. tisztességtelen kereskedelmi gyakorlatot tanúsított, amikor a Multi-</w:t>
      </w:r>
      <w:proofErr w:type="spellStart"/>
      <w:r w:rsidRPr="0032357E">
        <w:t>tabs</w:t>
      </w:r>
      <w:proofErr w:type="spellEnd"/>
      <w:r w:rsidRPr="0032357E">
        <w:t xml:space="preserve"> Multi Kid étrend-kiegészítő készítmény népszerűsítése során</w:t>
      </w:r>
    </w:p>
    <w:p w14:paraId="31E5CF5D" w14:textId="77777777" w:rsidR="007327B0" w:rsidRPr="0032357E" w:rsidRDefault="007327B0" w:rsidP="007327B0">
      <w:pPr>
        <w:numPr>
          <w:ilvl w:val="0"/>
          <w:numId w:val="1"/>
        </w:numPr>
        <w:jc w:val="both"/>
      </w:pPr>
      <w:r w:rsidRPr="0032357E">
        <w:t>kereskedelmi kommunikációival azt a megtévesztő, az ágazati szabályokkal ellentétes látszatot keltette, hogy a termék használata a kiegyensúlyozott és változatos étrend kiváltására alkalmas, továbbá</w:t>
      </w:r>
    </w:p>
    <w:p w14:paraId="5850E253" w14:textId="77777777" w:rsidR="007327B0" w:rsidRPr="0032357E" w:rsidRDefault="007327B0" w:rsidP="007327B0">
      <w:pPr>
        <w:numPr>
          <w:ilvl w:val="0"/>
          <w:numId w:val="1"/>
        </w:numPr>
        <w:jc w:val="both"/>
      </w:pPr>
      <w:r w:rsidRPr="0032357E">
        <w:t>a fogyasztói döntés torzítására alkalmas módon a szakmai gondosság követelményét megsértette, amikor nem volt tekintettel az ágazati alapelvekre és rendelkezésekre a reklámkampányában.</w:t>
      </w:r>
    </w:p>
    <w:p w14:paraId="32076531" w14:textId="77777777" w:rsidR="007327B0" w:rsidRPr="0032357E" w:rsidRDefault="007327B0" w:rsidP="007327B0">
      <w:pPr>
        <w:jc w:val="both"/>
      </w:pPr>
      <w:r w:rsidRPr="0032357E">
        <w:t>A jogsértés megállapítása mellett az eljáró versenytanács a fenti magatartásért 50.000.000 Ft (azaz ötvenmillió forint) bírságot szab ki a Pfizer Gyógyszerkereskedelmi Kft.-vel szemben, amely összeget a Gazdasági Versenyhivatal 10032000-01037557-00000000 számú bírságbevételi számlája javára köteles megfizetni a határozat kézhezvételétől számított 30 napon belül.</w:t>
      </w:r>
    </w:p>
    <w:p w14:paraId="0BC58734" w14:textId="60C1D6E0" w:rsidR="006816AE" w:rsidRDefault="006816AE" w:rsidP="00272E68"/>
    <w:p w14:paraId="3E41698C" w14:textId="31742086" w:rsidR="00272E68" w:rsidRDefault="007327B0" w:rsidP="00272E68">
      <w:r>
        <w:t>3) Igen és a Bíróság megerősítette a GVH határozatát.</w:t>
      </w:r>
    </w:p>
    <w:p w14:paraId="690A5B59" w14:textId="77777777" w:rsidR="004F3974" w:rsidRDefault="004F3974" w:rsidP="00272E68"/>
    <w:p w14:paraId="6404C0C4" w14:textId="77777777" w:rsidR="009001A9" w:rsidRPr="00272E68" w:rsidRDefault="009001A9" w:rsidP="009001A9">
      <w:pPr>
        <w:rPr>
          <w:rStyle w:val="Hiperhivatkozs"/>
          <w:color w:val="auto"/>
          <w:u w:val="none"/>
        </w:rPr>
      </w:pPr>
      <w:r>
        <w:t xml:space="preserve">forrás: </w:t>
      </w:r>
      <w:hyperlink r:id="rId8" w:history="1">
        <w:r w:rsidRPr="00C7698C">
          <w:rPr>
            <w:rStyle w:val="Hiperhivatkozs"/>
          </w:rPr>
          <w:t>https://www.gvh.hu/dontesek/birosagi_dontesek/birosagi_dontesek_2015/vj-127201585</w:t>
        </w:r>
      </w:hyperlink>
    </w:p>
    <w:p w14:paraId="4502727C" w14:textId="2563FAC4" w:rsidR="00822BB1" w:rsidRPr="00FC40DD" w:rsidRDefault="00822BB1" w:rsidP="0032357E">
      <w:pPr>
        <w:jc w:val="both"/>
      </w:pPr>
    </w:p>
    <w:sectPr w:rsidR="00822BB1" w:rsidRPr="00FC40DD" w:rsidSect="00E954D0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C004E"/>
    <w:multiLevelType w:val="hybridMultilevel"/>
    <w:tmpl w:val="A54E23C4"/>
    <w:lvl w:ilvl="0" w:tplc="6C7C51A0">
      <w:numFmt w:val="bullet"/>
      <w:lvlText w:val="-"/>
      <w:lvlJc w:val="left"/>
      <w:pPr>
        <w:ind w:left="1252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hu-HU" w:eastAsia="en-US" w:bidi="ar-SA"/>
      </w:rPr>
    </w:lvl>
    <w:lvl w:ilvl="1" w:tplc="F8569CBC">
      <w:numFmt w:val="bullet"/>
      <w:lvlText w:val="•"/>
      <w:lvlJc w:val="left"/>
      <w:pPr>
        <w:ind w:left="4580" w:hanging="360"/>
      </w:pPr>
      <w:rPr>
        <w:rFonts w:hint="default"/>
        <w:lang w:val="hu-HU" w:eastAsia="en-US" w:bidi="ar-SA"/>
      </w:rPr>
    </w:lvl>
    <w:lvl w:ilvl="2" w:tplc="5C3CDF9C">
      <w:numFmt w:val="bullet"/>
      <w:lvlText w:val="•"/>
      <w:lvlJc w:val="left"/>
      <w:pPr>
        <w:ind w:left="5340" w:hanging="360"/>
      </w:pPr>
      <w:rPr>
        <w:rFonts w:hint="default"/>
        <w:lang w:val="hu-HU" w:eastAsia="en-US" w:bidi="ar-SA"/>
      </w:rPr>
    </w:lvl>
    <w:lvl w:ilvl="3" w:tplc="ED4075AA">
      <w:numFmt w:val="bullet"/>
      <w:lvlText w:val="•"/>
      <w:lvlJc w:val="left"/>
      <w:pPr>
        <w:ind w:left="6101" w:hanging="360"/>
      </w:pPr>
      <w:rPr>
        <w:rFonts w:hint="default"/>
        <w:lang w:val="hu-HU" w:eastAsia="en-US" w:bidi="ar-SA"/>
      </w:rPr>
    </w:lvl>
    <w:lvl w:ilvl="4" w:tplc="74508BEA">
      <w:numFmt w:val="bullet"/>
      <w:lvlText w:val="•"/>
      <w:lvlJc w:val="left"/>
      <w:pPr>
        <w:ind w:left="6862" w:hanging="360"/>
      </w:pPr>
      <w:rPr>
        <w:rFonts w:hint="default"/>
        <w:lang w:val="hu-HU" w:eastAsia="en-US" w:bidi="ar-SA"/>
      </w:rPr>
    </w:lvl>
    <w:lvl w:ilvl="5" w:tplc="0DA83F44">
      <w:numFmt w:val="bullet"/>
      <w:lvlText w:val="•"/>
      <w:lvlJc w:val="left"/>
      <w:pPr>
        <w:ind w:left="7622" w:hanging="360"/>
      </w:pPr>
      <w:rPr>
        <w:rFonts w:hint="default"/>
        <w:lang w:val="hu-HU" w:eastAsia="en-US" w:bidi="ar-SA"/>
      </w:rPr>
    </w:lvl>
    <w:lvl w:ilvl="6" w:tplc="7C3C7D74">
      <w:numFmt w:val="bullet"/>
      <w:lvlText w:val="•"/>
      <w:lvlJc w:val="left"/>
      <w:pPr>
        <w:ind w:left="8383" w:hanging="360"/>
      </w:pPr>
      <w:rPr>
        <w:rFonts w:hint="default"/>
        <w:lang w:val="hu-HU" w:eastAsia="en-US" w:bidi="ar-SA"/>
      </w:rPr>
    </w:lvl>
    <w:lvl w:ilvl="7" w:tplc="5BA2F28A">
      <w:numFmt w:val="bullet"/>
      <w:lvlText w:val="•"/>
      <w:lvlJc w:val="left"/>
      <w:pPr>
        <w:ind w:left="9144" w:hanging="360"/>
      </w:pPr>
      <w:rPr>
        <w:rFonts w:hint="default"/>
        <w:lang w:val="hu-HU" w:eastAsia="en-US" w:bidi="ar-SA"/>
      </w:rPr>
    </w:lvl>
    <w:lvl w:ilvl="8" w:tplc="44525D14">
      <w:numFmt w:val="bullet"/>
      <w:lvlText w:val="•"/>
      <w:lvlJc w:val="left"/>
      <w:pPr>
        <w:ind w:left="9904" w:hanging="360"/>
      </w:pPr>
      <w:rPr>
        <w:rFonts w:hint="default"/>
        <w:lang w:val="hu-HU" w:eastAsia="en-US" w:bidi="ar-SA"/>
      </w:rPr>
    </w:lvl>
  </w:abstractNum>
  <w:abstractNum w:abstractNumId="1" w15:restartNumberingAfterBreak="0">
    <w:nsid w:val="078B7D08"/>
    <w:multiLevelType w:val="hybridMultilevel"/>
    <w:tmpl w:val="BE9C0B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4D0"/>
    <w:rsid w:val="000F5524"/>
    <w:rsid w:val="00110040"/>
    <w:rsid w:val="00117CE7"/>
    <w:rsid w:val="001F3886"/>
    <w:rsid w:val="00261931"/>
    <w:rsid w:val="00272E68"/>
    <w:rsid w:val="00286846"/>
    <w:rsid w:val="002E6AD4"/>
    <w:rsid w:val="0032357E"/>
    <w:rsid w:val="00443326"/>
    <w:rsid w:val="004F3974"/>
    <w:rsid w:val="006816AE"/>
    <w:rsid w:val="00707586"/>
    <w:rsid w:val="007327B0"/>
    <w:rsid w:val="007F7B4B"/>
    <w:rsid w:val="00822BB1"/>
    <w:rsid w:val="00864201"/>
    <w:rsid w:val="008A429B"/>
    <w:rsid w:val="008C4DC2"/>
    <w:rsid w:val="009001A9"/>
    <w:rsid w:val="009A1942"/>
    <w:rsid w:val="009C18CE"/>
    <w:rsid w:val="00A760F3"/>
    <w:rsid w:val="00AE5CAC"/>
    <w:rsid w:val="00CA75AC"/>
    <w:rsid w:val="00CC1EC5"/>
    <w:rsid w:val="00D13ECA"/>
    <w:rsid w:val="00E954D0"/>
    <w:rsid w:val="00FC40DD"/>
    <w:rsid w:val="00FD08AE"/>
    <w:rsid w:val="00FE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80196"/>
  <w15:chartTrackingRefBased/>
  <w15:docId w15:val="{AED58956-3653-450A-A29B-288796E0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mic Sans MS" w:eastAsiaTheme="minorHAnsi" w:hAnsi="Comic Sans MS" w:cs="Times New Roman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E954D0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de-DE" w:eastAsia="de-DE"/>
    </w:rPr>
  </w:style>
  <w:style w:type="character" w:styleId="Kiemels2">
    <w:name w:val="Strong"/>
    <w:basedOn w:val="Bekezdsalapbettpusa"/>
    <w:uiPriority w:val="22"/>
    <w:qFormat/>
    <w:rsid w:val="00E954D0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D13ECA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13ECA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D13ECA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272E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9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06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76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3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72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7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19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8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8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1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vh.hu/dontesek/birosagi_dontesek/birosagi_dontesek_2015/vj-12720158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4a53bce8-ee39-4c2c-8253-74ff71b54072" xsi:nil="true"/>
    <FolderType xmlns="4a53bce8-ee39-4c2c-8253-74ff71b54072" xsi:nil="true"/>
    <Owner xmlns="4a53bce8-ee39-4c2c-8253-74ff71b54072">
      <UserInfo>
        <DisplayName/>
        <AccountId xsi:nil="true"/>
        <AccountType/>
      </UserInfo>
    </Owner>
    <Invited_Students xmlns="4a53bce8-ee39-4c2c-8253-74ff71b54072" xsi:nil="true"/>
    <Teachers xmlns="4a53bce8-ee39-4c2c-8253-74ff71b54072">
      <UserInfo>
        <DisplayName/>
        <AccountId xsi:nil="true"/>
        <AccountType/>
      </UserInfo>
    </Teachers>
    <Students xmlns="4a53bce8-ee39-4c2c-8253-74ff71b54072">
      <UserInfo>
        <DisplayName/>
        <AccountId xsi:nil="true"/>
        <AccountType/>
      </UserInfo>
    </Students>
    <Student_Groups xmlns="4a53bce8-ee39-4c2c-8253-74ff71b54072">
      <UserInfo>
        <DisplayName/>
        <AccountId xsi:nil="true"/>
        <AccountType/>
      </UserInfo>
    </Student_Groups>
    <AppVersion xmlns="4a53bce8-ee39-4c2c-8253-74ff71b54072" xsi:nil="true"/>
    <DefaultSectionNames xmlns="4a53bce8-ee39-4c2c-8253-74ff71b54072" xsi:nil="true"/>
    <Self_Registration_Enabled xmlns="4a53bce8-ee39-4c2c-8253-74ff71b54072" xsi:nil="true"/>
    <Invited_Teachers xmlns="4a53bce8-ee39-4c2c-8253-74ff71b540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24" ma:contentTypeDescription="Új dokumentum létrehozása." ma:contentTypeScope="" ma:versionID="e8fd1a6c1317128af624e2a8be5c733f">
  <xsd:schema xmlns:xsd="http://www.w3.org/2001/XMLSchema" xmlns:xs="http://www.w3.org/2001/XMLSchema" xmlns:p="http://schemas.microsoft.com/office/2006/metadata/properties" xmlns:ns3="4a53bce8-ee39-4c2c-8253-74ff71b54072" xmlns:ns4="cdd061f2-1996-4775-bdd9-60dd9b3a3d76" targetNamespace="http://schemas.microsoft.com/office/2006/metadata/properties" ma:root="true" ma:fieldsID="410e466112c094100900d9a591fe3f63" ns3:_="" ns4:_="">
    <xsd:import namespace="4a53bce8-ee39-4c2c-8253-74ff71b54072"/>
    <xsd:import namespace="cdd061f2-1996-4775-bdd9-60dd9b3a3d7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Details" minOccurs="0"/>
                <xsd:element ref="ns4:SharedWithUsers" minOccurs="0"/>
                <xsd:element ref="ns4:SharingHintHash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20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1" nillable="true" ma:displayName="Megosztási tipp kivonata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Utoljára megosztva felhasználók szerint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Utoljára megosztva időpontok szerint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5726C2-7434-4202-9501-AAAEB947945F}">
  <ds:schemaRefs>
    <ds:schemaRef ds:uri="http://schemas.microsoft.com/office/2006/metadata/properties"/>
    <ds:schemaRef ds:uri="http://schemas.microsoft.com/office/infopath/2007/PartnerControls"/>
    <ds:schemaRef ds:uri="4a53bce8-ee39-4c2c-8253-74ff71b54072"/>
  </ds:schemaRefs>
</ds:datastoreItem>
</file>

<file path=customXml/itemProps2.xml><?xml version="1.0" encoding="utf-8"?>
<ds:datastoreItem xmlns:ds="http://schemas.openxmlformats.org/officeDocument/2006/customXml" ds:itemID="{1B26E98A-98D3-416F-BD09-32C63E99CE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71B683-83DB-4204-BDBD-ECE47630D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3bce8-ee39-4c2c-8253-74ff71b54072"/>
    <ds:schemaRef ds:uri="cdd061f2-1996-4775-bdd9-60dd9b3a3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Virágh Árpád</dc:creator>
  <cp:keywords/>
  <dc:description/>
  <cp:lastModifiedBy>Dr. Virágh Árpád</cp:lastModifiedBy>
  <cp:revision>6</cp:revision>
  <dcterms:created xsi:type="dcterms:W3CDTF">2020-07-29T15:15:00Z</dcterms:created>
  <dcterms:modified xsi:type="dcterms:W3CDTF">2020-08-02T15:37:00Z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